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7E" w:rsidRDefault="002C0F7E" w:rsidP="002C0F7E">
      <w:pPr>
        <w:shd w:val="clear" w:color="auto" w:fill="FFFFFF"/>
        <w:spacing w:after="30" w:line="240" w:lineRule="auto"/>
        <w:jc w:val="center"/>
        <w:outlineLvl w:val="1"/>
        <w:rPr>
          <w:rFonts w:eastAsia="Times New Roman" w:cstheme="minorHAnsi"/>
          <w:b/>
          <w:bCs/>
          <w:color w:val="3B3B3B"/>
          <w:sz w:val="30"/>
          <w:szCs w:val="30"/>
          <w:u w:val="single"/>
        </w:rPr>
      </w:pPr>
      <w:r>
        <w:rPr>
          <w:rFonts w:eastAsia="Times New Roman" w:cstheme="minorHAnsi"/>
          <w:b/>
          <w:bCs/>
          <w:color w:val="3B3B3B"/>
          <w:sz w:val="30"/>
          <w:szCs w:val="30"/>
          <w:u w:val="single"/>
        </w:rPr>
        <w:t>Types of Sentences</w:t>
      </w:r>
    </w:p>
    <w:p w:rsid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Cs/>
          <w:color w:val="3B3B3B"/>
        </w:rPr>
      </w:pPr>
      <w:r>
        <w:rPr>
          <w:rFonts w:eastAsia="Times New Roman" w:cstheme="minorHAnsi"/>
          <w:bCs/>
          <w:color w:val="3B3B3B"/>
        </w:rPr>
        <w:t xml:space="preserve">A judge must always keep in mind “what are the true goals of sentencing?” </w:t>
      </w:r>
      <w:proofErr w:type="gramStart"/>
      <w:r>
        <w:rPr>
          <w:rFonts w:eastAsia="Times New Roman" w:cstheme="minorHAnsi"/>
          <w:bCs/>
          <w:color w:val="3B3B3B"/>
        </w:rPr>
        <w:t>With this in mind, they</w:t>
      </w:r>
      <w:proofErr w:type="gramEnd"/>
      <w:r>
        <w:rPr>
          <w:rFonts w:eastAsia="Times New Roman" w:cstheme="minorHAnsi"/>
          <w:bCs/>
          <w:color w:val="3B3B3B"/>
        </w:rPr>
        <w:t xml:space="preserve"> have a variety of punishments they can give. </w:t>
      </w: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Cs/>
          <w:color w:val="3B3B3B"/>
        </w:rPr>
      </w:pP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5" w:history="1">
        <w:r w:rsidRPr="002C0F7E">
          <w:rPr>
            <w:rFonts w:eastAsia="Times New Roman" w:cstheme="minorHAnsi"/>
            <w:b/>
            <w:bCs/>
            <w:u w:val="single"/>
          </w:rPr>
          <w:t xml:space="preserve">Absolute </w:t>
        </w:r>
        <w:r>
          <w:rPr>
            <w:rFonts w:eastAsia="Times New Roman" w:cstheme="minorHAnsi"/>
            <w:b/>
            <w:bCs/>
            <w:u w:val="single"/>
          </w:rPr>
          <w:t>D</w:t>
        </w:r>
        <w:r w:rsidRPr="002C0F7E">
          <w:rPr>
            <w:rFonts w:eastAsia="Times New Roman" w:cstheme="minorHAnsi"/>
            <w:b/>
            <w:bCs/>
            <w:u w:val="single"/>
          </w:rPr>
          <w:t>ischarge</w:t>
        </w:r>
      </w:hyperlink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An absolute discharge is the lowest-level adult sentence that an </w:t>
      </w:r>
      <w:hyperlink r:id="rId6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> can get.</w:t>
      </w:r>
      <w:r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If an offender gets an absolute discharge, a finding of guilt is made but no conviction is registered, and they are not given any conditions to follow (i.e. a probation </w:t>
      </w:r>
      <w:hyperlink r:id="rId7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>). The offender is finished with their case that day. They don’t have to come to court again or check in with a probation officer.</w:t>
      </w: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8" w:history="1">
        <w:r w:rsidRPr="002C0F7E">
          <w:rPr>
            <w:rFonts w:eastAsia="Times New Roman" w:cstheme="minorHAnsi"/>
            <w:b/>
            <w:bCs/>
            <w:u w:val="single"/>
          </w:rPr>
          <w:t xml:space="preserve">Conditional </w:t>
        </w:r>
        <w:r>
          <w:rPr>
            <w:rFonts w:eastAsia="Times New Roman" w:cstheme="minorHAnsi"/>
            <w:b/>
            <w:bCs/>
            <w:u w:val="single"/>
          </w:rPr>
          <w:t>D</w:t>
        </w:r>
        <w:r w:rsidRPr="002C0F7E">
          <w:rPr>
            <w:rFonts w:eastAsia="Times New Roman" w:cstheme="minorHAnsi"/>
            <w:b/>
            <w:bCs/>
            <w:u w:val="single"/>
          </w:rPr>
          <w:t>ischarge</w:t>
        </w:r>
      </w:hyperlink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 xml:space="preserve">A conditional discharge is </w:t>
      </w:r>
      <w:proofErr w:type="gramStart"/>
      <w:r w:rsidRPr="002C0F7E">
        <w:rPr>
          <w:rFonts w:eastAsia="Times New Roman" w:cstheme="minorHAnsi"/>
        </w:rPr>
        <w:t>similar to</w:t>
      </w:r>
      <w:proofErr w:type="gramEnd"/>
      <w:r w:rsidRPr="002C0F7E">
        <w:rPr>
          <w:rFonts w:eastAsia="Times New Roman" w:cstheme="minorHAnsi"/>
        </w:rPr>
        <w:t xml:space="preserve"> an absolute discharge because a finding of guilt is made, but no conviction is registered. What makes it different from an absolute discharge is that there are conditions that the </w:t>
      </w:r>
      <w:hyperlink r:id="rId9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> must follow. The conditions always come in a probation </w:t>
      </w:r>
      <w:hyperlink r:id="rId10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> that can be in effect from one to three years.</w:t>
      </w:r>
      <w:r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A conditional discharge stays on an offender’s criminal record for three years after the completion of the probation </w:t>
      </w:r>
      <w:hyperlink r:id="rId11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>. Like an absolute discharge, the offender doesn’t have to apply for a pardon for the discharge to be removed from his/her record.</w:t>
      </w: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12" w:history="1">
        <w:r w:rsidRPr="002C0F7E">
          <w:rPr>
            <w:rFonts w:eastAsia="Times New Roman" w:cstheme="minorHAnsi"/>
            <w:b/>
            <w:bCs/>
            <w:u w:val="single"/>
          </w:rPr>
          <w:t xml:space="preserve">Suspended </w:t>
        </w:r>
        <w:r>
          <w:rPr>
            <w:rFonts w:eastAsia="Times New Roman" w:cstheme="minorHAnsi"/>
            <w:b/>
            <w:bCs/>
            <w:u w:val="single"/>
          </w:rPr>
          <w:t>S</w:t>
        </w:r>
        <w:r w:rsidRPr="002C0F7E">
          <w:rPr>
            <w:rFonts w:eastAsia="Times New Roman" w:cstheme="minorHAnsi"/>
            <w:b/>
            <w:bCs/>
            <w:u w:val="single"/>
          </w:rPr>
          <w:t>entence</w:t>
        </w:r>
      </w:hyperlink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Like a conditional discharge, a suspended sentence involves following conditions in a probation </w:t>
      </w:r>
      <w:hyperlink r:id="rId13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> for a period of one to three years.</w:t>
      </w:r>
    </w:p>
    <w:p w:rsidR="002C0F7E" w:rsidRPr="002C0F7E" w:rsidRDefault="002C0F7E" w:rsidP="002C0F7E">
      <w:pPr>
        <w:shd w:val="clear" w:color="auto" w:fill="FFFFFF"/>
        <w:spacing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The main difference between a conditional discharge and a suspended sentence is that an </w:t>
      </w:r>
      <w:hyperlink r:id="rId14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> who gets a suspended sentence has a conviction registered against them. This means that the offender who gets a suspended sentence will have a criminal record and will have to apply for a pardon to have the conviction removed from their record.</w:t>
      </w: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15" w:history="1">
        <w:r w:rsidRPr="002C0F7E">
          <w:rPr>
            <w:rFonts w:eastAsia="Times New Roman" w:cstheme="minorHAnsi"/>
            <w:b/>
            <w:bCs/>
            <w:u w:val="single"/>
          </w:rPr>
          <w:t>Probation</w:t>
        </w:r>
      </w:hyperlink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Probation is a court </w:t>
      </w:r>
      <w:hyperlink r:id="rId16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 xml:space="preserve"> to do (or not do) certain things for </w:t>
      </w:r>
      <w:proofErr w:type="gramStart"/>
      <w:r w:rsidRPr="002C0F7E">
        <w:rPr>
          <w:rFonts w:eastAsia="Times New Roman" w:cstheme="minorHAnsi"/>
        </w:rPr>
        <w:t>a period of time</w:t>
      </w:r>
      <w:proofErr w:type="gramEnd"/>
      <w:r w:rsidRPr="002C0F7E">
        <w:rPr>
          <w:rFonts w:eastAsia="Times New Roman" w:cstheme="minorHAnsi"/>
        </w:rPr>
        <w:t>. It is usually called a probation </w:t>
      </w:r>
      <w:hyperlink r:id="rId17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>.</w:t>
      </w:r>
    </w:p>
    <w:p w:rsidR="003F1B1A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An </w:t>
      </w:r>
      <w:hyperlink r:id="rId18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> who gets a conditional discharge or a suspended sentence will always have a probation order that they must follow. A probation order can also be combined with a fine, a conditional sentence, intermittent imprisonment, or imprisonment. The maximum length of a probation order is three years. In many cases they are one or two years long.</w:t>
      </w:r>
    </w:p>
    <w:p w:rsidR="003F1B1A" w:rsidRDefault="003F1B1A" w:rsidP="003F1B1A">
      <w:pPr>
        <w:shd w:val="clear" w:color="auto" w:fill="FFFFFF"/>
        <w:spacing w:after="288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Conditions of Probation</w:t>
      </w:r>
    </w:p>
    <w:p w:rsidR="003F1B1A" w:rsidRPr="003F1B1A" w:rsidRDefault="003F1B1A" w:rsidP="003F1B1A">
      <w:pPr>
        <w:pStyle w:val="NoSpacing"/>
        <w:rPr>
          <w:i/>
        </w:rPr>
      </w:pPr>
      <w:r w:rsidRPr="003F1B1A">
        <w:rPr>
          <w:i/>
        </w:rPr>
        <w:t>The following conditions are mandatory</w:t>
      </w:r>
    </w:p>
    <w:p w:rsidR="003F1B1A" w:rsidRDefault="002C0F7E" w:rsidP="003F1B1A">
      <w:pPr>
        <w:pStyle w:val="NoSpacing"/>
        <w:numPr>
          <w:ilvl w:val="0"/>
          <w:numId w:val="5"/>
        </w:numPr>
        <w:rPr>
          <w:b/>
          <w:u w:val="single"/>
        </w:rPr>
      </w:pPr>
      <w:r w:rsidRPr="003F1B1A">
        <w:t xml:space="preserve">keep the peace and be of good </w:t>
      </w:r>
      <w:r w:rsidR="003F1B1A" w:rsidRPr="003F1B1A">
        <w:t>behavior</w:t>
      </w:r>
      <w:r w:rsidRPr="003F1B1A">
        <w:t>;</w:t>
      </w:r>
    </w:p>
    <w:p w:rsidR="003F1B1A" w:rsidRDefault="002C0F7E" w:rsidP="003F1B1A">
      <w:pPr>
        <w:pStyle w:val="NoSpacing"/>
        <w:numPr>
          <w:ilvl w:val="0"/>
          <w:numId w:val="5"/>
        </w:numPr>
        <w:rPr>
          <w:b/>
          <w:u w:val="single"/>
        </w:rPr>
      </w:pPr>
      <w:r w:rsidRPr="003F1B1A">
        <w:t>appear in court when ordered by the court;</w:t>
      </w:r>
    </w:p>
    <w:p w:rsidR="002C0F7E" w:rsidRPr="003F1B1A" w:rsidRDefault="002C0F7E" w:rsidP="003F1B1A">
      <w:pPr>
        <w:pStyle w:val="NoSpacing"/>
        <w:numPr>
          <w:ilvl w:val="0"/>
          <w:numId w:val="5"/>
        </w:numPr>
        <w:rPr>
          <w:b/>
          <w:u w:val="single"/>
        </w:rPr>
      </w:pPr>
      <w:r w:rsidRPr="003F1B1A">
        <w:t xml:space="preserve">tell the court or probation officer about any change of name, </w:t>
      </w:r>
      <w:r w:rsidR="003F1B1A">
        <w:t>addre</w:t>
      </w:r>
      <w:r w:rsidR="003F1B1A" w:rsidRPr="003F1B1A">
        <w:t>ss</w:t>
      </w:r>
      <w:r w:rsidRPr="003F1B1A">
        <w:t xml:space="preserve"> or job.</w:t>
      </w:r>
    </w:p>
    <w:p w:rsidR="003F1B1A" w:rsidRPr="003F1B1A" w:rsidRDefault="003F1B1A" w:rsidP="003F1B1A">
      <w:pPr>
        <w:pStyle w:val="NoSpacing"/>
        <w:ind w:left="720"/>
        <w:rPr>
          <w:b/>
          <w:u w:val="single"/>
        </w:rPr>
      </w:pPr>
    </w:p>
    <w:p w:rsidR="003F1B1A" w:rsidRPr="003F1B1A" w:rsidRDefault="003F1B1A" w:rsidP="003F1B1A">
      <w:pPr>
        <w:pStyle w:val="NoSpacing"/>
        <w:rPr>
          <w:i/>
        </w:rPr>
      </w:pPr>
      <w:r w:rsidRPr="003F1B1A">
        <w:rPr>
          <w:i/>
        </w:rPr>
        <w:t>The following conditions can be included into the probation order</w:t>
      </w:r>
    </w:p>
    <w:p w:rsidR="003F1B1A" w:rsidRDefault="002C0F7E" w:rsidP="003F1B1A">
      <w:pPr>
        <w:pStyle w:val="NoSpacing"/>
        <w:numPr>
          <w:ilvl w:val="0"/>
          <w:numId w:val="5"/>
        </w:numPr>
      </w:pPr>
      <w:r w:rsidRPr="003F1B1A">
        <w:t>report to a probation officer (sometimes every week or month);</w:t>
      </w:r>
    </w:p>
    <w:p w:rsidR="002C0F7E" w:rsidRPr="003F1B1A" w:rsidRDefault="002C0F7E" w:rsidP="003F1B1A">
      <w:pPr>
        <w:pStyle w:val="NoSpacing"/>
        <w:numPr>
          <w:ilvl w:val="0"/>
          <w:numId w:val="5"/>
        </w:numPr>
      </w:pPr>
      <w:r w:rsidRPr="003F1B1A">
        <w:rPr>
          <w:rFonts w:eastAsia="Times New Roman" w:cstheme="minorHAnsi"/>
        </w:rPr>
        <w:t>not buy, carry, or drink alcohol</w:t>
      </w:r>
      <w:r w:rsidR="003F1B1A">
        <w:rPr>
          <w:rFonts w:eastAsia="Times New Roman" w:cstheme="minorHAnsi"/>
        </w:rPr>
        <w:t xml:space="preserve"> or use any drugs not prescribed by a doctor </w:t>
      </w:r>
    </w:p>
    <w:p w:rsidR="003F1B1A" w:rsidRPr="003F1B1A" w:rsidRDefault="003F1B1A" w:rsidP="005C3DC8">
      <w:pPr>
        <w:pStyle w:val="NoSpacing"/>
        <w:numPr>
          <w:ilvl w:val="0"/>
          <w:numId w:val="5"/>
        </w:numPr>
      </w:pPr>
      <w:r>
        <w:rPr>
          <w:rFonts w:eastAsia="Times New Roman" w:cstheme="minorHAnsi"/>
        </w:rPr>
        <w:t>community service</w:t>
      </w:r>
      <w:r w:rsidR="005C3DC8">
        <w:rPr>
          <w:rFonts w:eastAsia="Times New Roman" w:cstheme="minorHAnsi"/>
        </w:rPr>
        <w:t xml:space="preserve">, </w:t>
      </w:r>
      <w:r w:rsidRPr="005C3DC8">
        <w:rPr>
          <w:rFonts w:eastAsia="Times New Roman" w:cstheme="minorHAnsi"/>
        </w:rPr>
        <w:t xml:space="preserve">counselling or rehabilitation </w:t>
      </w: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19" w:history="1">
        <w:r w:rsidRPr="002C0F7E">
          <w:rPr>
            <w:rFonts w:eastAsia="Times New Roman" w:cstheme="minorHAnsi"/>
            <w:b/>
            <w:bCs/>
            <w:u w:val="single"/>
          </w:rPr>
          <w:t>Fine</w:t>
        </w:r>
      </w:hyperlink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A fine is an amount of money that an </w:t>
      </w:r>
      <w:hyperlink r:id="rId20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> must pay to the court. It is different from restitution or a </w:t>
      </w:r>
      <w:hyperlink r:id="rId21" w:history="1">
        <w:r w:rsidRPr="002C0F7E">
          <w:rPr>
            <w:rFonts w:eastAsia="Times New Roman" w:cstheme="minorHAnsi"/>
          </w:rPr>
          <w:t>charitable donation</w:t>
        </w:r>
      </w:hyperlink>
      <w:r w:rsidRPr="002C0F7E">
        <w:rPr>
          <w:rFonts w:eastAsia="Times New Roman" w:cstheme="minorHAnsi"/>
        </w:rPr>
        <w:t>.</w:t>
      </w:r>
      <w:r w:rsidR="005C3DC8"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If an offender is given a fine, they will have a conviction registered against them and will have to apply for a pardon to have the fine removed from their record.</w:t>
      </w:r>
      <w:r w:rsidR="005C3DC8"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A fine can be given instead of, or in addition to, imprisonment, a conditional sentence, or an intermittent sentence. This is true unless the criminal </w:t>
      </w:r>
      <w:hyperlink r:id="rId22" w:anchor="Offence" w:history="1">
        <w:r w:rsidRPr="002C0F7E">
          <w:rPr>
            <w:rFonts w:eastAsia="Times New Roman" w:cstheme="minorHAnsi"/>
          </w:rPr>
          <w:t>offence</w:t>
        </w:r>
      </w:hyperlink>
      <w:r w:rsidRPr="002C0F7E">
        <w:rPr>
          <w:rFonts w:eastAsia="Times New Roman" w:cstheme="minorHAnsi"/>
        </w:rPr>
        <w:t> requires minimum jail time. If this is the case, a fine can’t be given instead of jail, but can still be given in addition to the minimum jail time.</w:t>
      </w:r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A fine cannot be given on top of an absolute discharge, a conditional discharge, or a suspended sentence.</w:t>
      </w:r>
    </w:p>
    <w:p w:rsidR="002C0F7E" w:rsidRPr="002C0F7E" w:rsidRDefault="005C3DC8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r w:rsidRPr="005C3DC8">
        <w:rPr>
          <w:rFonts w:eastAsia="Times New Roman" w:cstheme="minorHAnsi"/>
          <w:b/>
          <w:bCs/>
          <w:u w:val="single"/>
        </w:rPr>
        <w:t xml:space="preserve">Imprisonment </w:t>
      </w:r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Imprisonment is a jail sentence. After a judge gives a jail sentence, the </w:t>
      </w:r>
      <w:hyperlink r:id="rId23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 xml:space="preserve"> is taken to jail and a conviction is registered against them. An offender </w:t>
      </w:r>
      <w:proofErr w:type="gramStart"/>
      <w:r w:rsidRPr="002C0F7E">
        <w:rPr>
          <w:rFonts w:eastAsia="Times New Roman" w:cstheme="minorHAnsi"/>
        </w:rPr>
        <w:t>has to</w:t>
      </w:r>
      <w:proofErr w:type="gramEnd"/>
      <w:r w:rsidRPr="002C0F7E">
        <w:rPr>
          <w:rFonts w:eastAsia="Times New Roman" w:cstheme="minorHAnsi"/>
        </w:rPr>
        <w:t xml:space="preserve"> apply for a pardon in </w:t>
      </w:r>
      <w:hyperlink r:id="rId24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> to have a jail sentence removed from their record.</w:t>
      </w:r>
      <w:r w:rsidR="005C3DC8">
        <w:rPr>
          <w:rFonts w:eastAsia="Times New Roman" w:cstheme="minorHAnsi"/>
        </w:rPr>
        <w:t xml:space="preserve"> If the sentence is for two years (or less) they will go to jail. If it exceeds two years, they will likely go to a penitentiary. </w:t>
      </w: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25" w:history="1">
        <w:r w:rsidRPr="002C0F7E">
          <w:rPr>
            <w:rFonts w:eastAsia="Times New Roman" w:cstheme="minorHAnsi"/>
            <w:b/>
            <w:bCs/>
            <w:u w:val="single"/>
          </w:rPr>
          <w:t xml:space="preserve">Intermittent </w:t>
        </w:r>
        <w:r w:rsidR="005C3DC8">
          <w:rPr>
            <w:rFonts w:eastAsia="Times New Roman" w:cstheme="minorHAnsi"/>
            <w:b/>
            <w:bCs/>
            <w:u w:val="single"/>
          </w:rPr>
          <w:t>S</w:t>
        </w:r>
        <w:r w:rsidRPr="002C0F7E">
          <w:rPr>
            <w:rFonts w:eastAsia="Times New Roman" w:cstheme="minorHAnsi"/>
            <w:b/>
            <w:bCs/>
            <w:u w:val="single"/>
          </w:rPr>
          <w:t>entence (“weekends”)</w:t>
        </w:r>
      </w:hyperlink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An intermittent sentence is a jail sentence that the </w:t>
      </w:r>
      <w:hyperlink r:id="rId26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> serves in ”chunks” of time, instead of all at once.</w:t>
      </w:r>
      <w:r w:rsidR="005C3DC8"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For example, if an offender gets an intermittent sentence, they may go jail on the weekends, (i.e., Friday night until Monday morning) but be out of jail during the week.</w:t>
      </w:r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This continues until the sentence is finished. For this reason, intermittent sentences are sometimes called “weekends,” but they don’t necessarily have to be served on weekends. For example, a judge may let an offender </w:t>
      </w:r>
      <w:hyperlink r:id="rId27" w:anchor="Serve" w:history="1">
        <w:r w:rsidRPr="002C0F7E">
          <w:rPr>
            <w:rFonts w:eastAsia="Times New Roman" w:cstheme="minorHAnsi"/>
          </w:rPr>
          <w:t>serve</w:t>
        </w:r>
      </w:hyperlink>
      <w:r w:rsidRPr="002C0F7E">
        <w:rPr>
          <w:rFonts w:eastAsia="Times New Roman" w:cstheme="minorHAnsi"/>
        </w:rPr>
        <w:t> an intermittent sentence by being in jail from Monday until Friday and being out of jail on weekends.</w:t>
      </w:r>
    </w:p>
    <w:p w:rsidR="002C0F7E" w:rsidRPr="002C0F7E" w:rsidRDefault="002C0F7E" w:rsidP="005C3DC8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When an offender serving an intermittent sentence is not in jail, they are on a probation </w:t>
      </w:r>
      <w:hyperlink r:id="rId28" w:anchor="Order" w:history="1">
        <w:r w:rsidRPr="002C0F7E">
          <w:rPr>
            <w:rFonts w:eastAsia="Times New Roman" w:cstheme="minorHAnsi"/>
          </w:rPr>
          <w:t>order</w:t>
        </w:r>
      </w:hyperlink>
      <w:r w:rsidRPr="002C0F7E">
        <w:rPr>
          <w:rFonts w:eastAsia="Times New Roman" w:cstheme="minorHAnsi"/>
        </w:rPr>
        <w:t>.</w:t>
      </w:r>
      <w:r w:rsidR="005C3DC8"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An intermittent sentence can only happen if the judge imposes a sentence of 90 days or less.</w:t>
      </w:r>
      <w:r w:rsidR="005C3DC8"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To get an intermittent sentence, the offender will usually have to show the judge that they have a job or other significant responsibilities (e.g., child care) which would make it very hard to serve a regular jail sentence. Judges are also unlikely to give an intermittent sentence to an offender that has a criminal record that includes charges such as breach of probation or fail to comply with </w:t>
      </w:r>
      <w:hyperlink r:id="rId29" w:anchor="Recognizance" w:history="1">
        <w:r w:rsidRPr="002C0F7E">
          <w:rPr>
            <w:rFonts w:eastAsia="Times New Roman" w:cstheme="minorHAnsi"/>
          </w:rPr>
          <w:t>recognizance</w:t>
        </w:r>
      </w:hyperlink>
      <w:r w:rsidRPr="002C0F7E">
        <w:rPr>
          <w:rFonts w:eastAsia="Times New Roman" w:cstheme="minorHAnsi"/>
        </w:rPr>
        <w:t>.</w:t>
      </w:r>
    </w:p>
    <w:p w:rsidR="002C0F7E" w:rsidRPr="002C0F7E" w:rsidRDefault="002C0F7E" w:rsidP="002C0F7E">
      <w:pPr>
        <w:shd w:val="clear" w:color="auto" w:fill="FFFFFF"/>
        <w:spacing w:after="30" w:line="240" w:lineRule="auto"/>
        <w:outlineLvl w:val="1"/>
        <w:rPr>
          <w:rFonts w:eastAsia="Times New Roman" w:cstheme="minorHAnsi"/>
          <w:b/>
          <w:bCs/>
          <w:u w:val="single"/>
        </w:rPr>
      </w:pPr>
      <w:hyperlink r:id="rId30" w:history="1">
        <w:r w:rsidRPr="002C0F7E">
          <w:rPr>
            <w:rFonts w:eastAsia="Times New Roman" w:cstheme="minorHAnsi"/>
            <w:b/>
            <w:bCs/>
            <w:u w:val="single"/>
          </w:rPr>
          <w:t xml:space="preserve">Conditional </w:t>
        </w:r>
        <w:r w:rsidR="005C3DC8">
          <w:rPr>
            <w:rFonts w:eastAsia="Times New Roman" w:cstheme="minorHAnsi"/>
            <w:b/>
            <w:bCs/>
            <w:u w:val="single"/>
          </w:rPr>
          <w:t>S</w:t>
        </w:r>
        <w:r w:rsidRPr="002C0F7E">
          <w:rPr>
            <w:rFonts w:eastAsia="Times New Roman" w:cstheme="minorHAnsi"/>
            <w:b/>
            <w:bCs/>
            <w:u w:val="single"/>
          </w:rPr>
          <w:t>entence ("house arrest")</w:t>
        </w:r>
      </w:hyperlink>
    </w:p>
    <w:p w:rsidR="002C0F7E" w:rsidRP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A conditional sentence is an imprisonment (jail) sentence, except that the </w:t>
      </w:r>
      <w:hyperlink r:id="rId31" w:anchor="Offender" w:history="1">
        <w:r w:rsidRPr="002C0F7E">
          <w:rPr>
            <w:rFonts w:eastAsia="Times New Roman" w:cstheme="minorHAnsi"/>
          </w:rPr>
          <w:t>offender</w:t>
        </w:r>
      </w:hyperlink>
      <w:r w:rsidRPr="002C0F7E">
        <w:rPr>
          <w:rFonts w:eastAsia="Times New Roman" w:cstheme="minorHAnsi"/>
        </w:rPr>
        <w:t> serves the sentence outside of jail, under strict, jail-like conditions.</w:t>
      </w:r>
    </w:p>
    <w:p w:rsidR="002C0F7E" w:rsidRDefault="002C0F7E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  <w:r w:rsidRPr="002C0F7E">
        <w:rPr>
          <w:rFonts w:eastAsia="Times New Roman" w:cstheme="minorHAnsi"/>
        </w:rPr>
        <w:t>Conditional sentences are sometimes called “house </w:t>
      </w:r>
      <w:hyperlink r:id="rId32" w:anchor="Arrest" w:history="1">
        <w:r w:rsidRPr="002C0F7E">
          <w:rPr>
            <w:rFonts w:eastAsia="Times New Roman" w:cstheme="minorHAnsi"/>
          </w:rPr>
          <w:t>arrest</w:t>
        </w:r>
      </w:hyperlink>
      <w:r w:rsidRPr="002C0F7E">
        <w:rPr>
          <w:rFonts w:eastAsia="Times New Roman" w:cstheme="minorHAnsi"/>
        </w:rPr>
        <w:t>,” because they often require an offender to spend all or part of the sentence in their house. Just like imprisonment, a conditional sentence will result in a conviction being registered against the offender.</w:t>
      </w:r>
      <w:r w:rsidR="005C3DC8">
        <w:rPr>
          <w:rFonts w:eastAsia="Times New Roman" w:cstheme="minorHAnsi"/>
        </w:rPr>
        <w:t xml:space="preserve"> </w:t>
      </w:r>
      <w:r w:rsidRPr="002C0F7E">
        <w:rPr>
          <w:rFonts w:eastAsia="Times New Roman" w:cstheme="minorHAnsi"/>
        </w:rPr>
        <w:t>To give an offender a conditional sentence, the judge first imposes a sentence of imprisonment and then considers whether to let the offender </w:t>
      </w:r>
      <w:hyperlink r:id="rId33" w:anchor="Serve" w:history="1">
        <w:r w:rsidRPr="002C0F7E">
          <w:rPr>
            <w:rFonts w:eastAsia="Times New Roman" w:cstheme="minorHAnsi"/>
          </w:rPr>
          <w:t>serve</w:t>
        </w:r>
      </w:hyperlink>
      <w:r w:rsidRPr="002C0F7E">
        <w:rPr>
          <w:rFonts w:eastAsia="Times New Roman" w:cstheme="minorHAnsi"/>
        </w:rPr>
        <w:t> the sentence outside of jail.</w:t>
      </w:r>
    </w:p>
    <w:p w:rsidR="005C3DC8" w:rsidRDefault="005C3DC8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</w:p>
    <w:p w:rsidR="005C3DC8" w:rsidRDefault="005C3DC8" w:rsidP="002C0F7E">
      <w:pPr>
        <w:shd w:val="clear" w:color="auto" w:fill="FFFFFF"/>
        <w:spacing w:after="288" w:line="240" w:lineRule="auto"/>
        <w:rPr>
          <w:rFonts w:eastAsia="Times New Roman" w:cstheme="minorHAnsi"/>
        </w:rPr>
      </w:pPr>
    </w:p>
    <w:p w:rsidR="005C3DC8" w:rsidRPr="002C0F7E" w:rsidRDefault="005C3DC8" w:rsidP="002C0F7E">
      <w:pPr>
        <w:shd w:val="clear" w:color="auto" w:fill="FFFFFF"/>
        <w:spacing w:after="288"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lastRenderedPageBreak/>
        <w:t xml:space="preserve">Conditional Sentence Guidelines </w:t>
      </w:r>
    </w:p>
    <w:p w:rsidR="005C3DC8" w:rsidRDefault="002C0F7E" w:rsidP="005C3DC8">
      <w:pPr>
        <w:pStyle w:val="NoSpacing"/>
      </w:pPr>
      <w:r w:rsidRPr="002C0F7E">
        <w:t>A judge can only impose a conditional sentence if:</w:t>
      </w:r>
    </w:p>
    <w:p w:rsidR="005C3DC8" w:rsidRDefault="002C0F7E" w:rsidP="005C3DC8">
      <w:pPr>
        <w:pStyle w:val="NoSpacing"/>
        <w:numPr>
          <w:ilvl w:val="0"/>
          <w:numId w:val="5"/>
        </w:numPr>
      </w:pPr>
      <w:r w:rsidRPr="005C3DC8">
        <w:t>the sentence of imprisonment is less than two years;</w:t>
      </w:r>
    </w:p>
    <w:p w:rsidR="005C3DC8" w:rsidRPr="005C3DC8" w:rsidRDefault="002C0F7E" w:rsidP="005C3DC8">
      <w:pPr>
        <w:pStyle w:val="NoSpacing"/>
        <w:numPr>
          <w:ilvl w:val="0"/>
          <w:numId w:val="5"/>
        </w:numPr>
      </w:pPr>
      <w:r w:rsidRPr="005C3DC8">
        <w:rPr>
          <w:rFonts w:eastAsia="Times New Roman" w:cstheme="minorHAnsi"/>
        </w:rPr>
        <w:t>the offender has not been convicted of a criminal </w:t>
      </w:r>
      <w:hyperlink r:id="rId34" w:anchor="Offence" w:history="1">
        <w:r w:rsidRPr="005C3DC8">
          <w:rPr>
            <w:rFonts w:eastAsia="Times New Roman" w:cstheme="minorHAnsi"/>
          </w:rPr>
          <w:t>offence</w:t>
        </w:r>
      </w:hyperlink>
      <w:r w:rsidRPr="005C3DC8">
        <w:rPr>
          <w:rFonts w:eastAsia="Times New Roman" w:cstheme="minorHAnsi"/>
        </w:rPr>
        <w:t> that requires a minimum amount of jail time;</w:t>
      </w:r>
    </w:p>
    <w:p w:rsidR="005C3DC8" w:rsidRPr="005C3DC8" w:rsidRDefault="002C0F7E" w:rsidP="005C3DC8">
      <w:pPr>
        <w:pStyle w:val="NoSpacing"/>
        <w:numPr>
          <w:ilvl w:val="0"/>
          <w:numId w:val="5"/>
        </w:numPr>
      </w:pPr>
      <w:r w:rsidRPr="005C3DC8">
        <w:rPr>
          <w:rFonts w:eastAsia="Times New Roman" w:cstheme="minorHAnsi"/>
        </w:rPr>
        <w:t>the offender has not been convicted of a serious personal injury offence, a terrorism offence, or a criminal organization offence prosecuted by way of indictment for which the maximum term of imprisonment is ten years or more;</w:t>
      </w:r>
    </w:p>
    <w:p w:rsidR="005C3DC8" w:rsidRPr="005C3DC8" w:rsidRDefault="002C0F7E" w:rsidP="005C3DC8">
      <w:pPr>
        <w:pStyle w:val="NoSpacing"/>
        <w:numPr>
          <w:ilvl w:val="0"/>
          <w:numId w:val="5"/>
        </w:numPr>
      </w:pPr>
      <w:r w:rsidRPr="005C3DC8">
        <w:rPr>
          <w:rFonts w:eastAsia="Times New Roman" w:cstheme="minorHAnsi"/>
        </w:rPr>
        <w:t>the judge is satisfied that letting the offender serve the sentence in the community would not threaten the safety of the community;</w:t>
      </w:r>
    </w:p>
    <w:p w:rsidR="002C0F7E" w:rsidRPr="005C3DC8" w:rsidRDefault="002C0F7E" w:rsidP="005C3DC8">
      <w:pPr>
        <w:pStyle w:val="NoSpacing"/>
        <w:numPr>
          <w:ilvl w:val="0"/>
          <w:numId w:val="5"/>
        </w:numPr>
      </w:pPr>
      <w:bookmarkStart w:id="0" w:name="_GoBack"/>
      <w:bookmarkEnd w:id="0"/>
      <w:r w:rsidRPr="005C3DC8">
        <w:rPr>
          <w:rFonts w:eastAsia="Times New Roman" w:cstheme="minorHAnsi"/>
        </w:rPr>
        <w:t>the judge is satisfied that having the offender serve the sentence in the community is consistent with the sentencing principles of the </w:t>
      </w:r>
      <w:hyperlink r:id="rId35" w:anchor="Criminal_Code" w:history="1">
        <w:r w:rsidRPr="005C3DC8">
          <w:rPr>
            <w:rFonts w:eastAsia="Times New Roman" w:cstheme="minorHAnsi"/>
            <w:i/>
            <w:iCs/>
          </w:rPr>
          <w:t>Criminal Code</w:t>
        </w:r>
      </w:hyperlink>
      <w:r w:rsidRPr="005C3DC8">
        <w:rPr>
          <w:rFonts w:eastAsia="Times New Roman" w:cstheme="minorHAnsi"/>
        </w:rPr>
        <w:t>.</w:t>
      </w:r>
    </w:p>
    <w:p w:rsidR="00CD001C" w:rsidRPr="002C0F7E" w:rsidRDefault="005C3DC8">
      <w:pPr>
        <w:rPr>
          <w:rFonts w:cstheme="minorHAnsi"/>
        </w:rPr>
      </w:pPr>
    </w:p>
    <w:sectPr w:rsidR="00CD001C" w:rsidRPr="002C0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57897"/>
    <w:multiLevelType w:val="multilevel"/>
    <w:tmpl w:val="258E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D6A3C"/>
    <w:multiLevelType w:val="multilevel"/>
    <w:tmpl w:val="86A0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F7245"/>
    <w:multiLevelType w:val="hybridMultilevel"/>
    <w:tmpl w:val="DD8A8538"/>
    <w:lvl w:ilvl="0" w:tplc="2C5C1FA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16B9"/>
    <w:multiLevelType w:val="hybridMultilevel"/>
    <w:tmpl w:val="5DEECA00"/>
    <w:lvl w:ilvl="0" w:tplc="053C2FF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02D6"/>
    <w:multiLevelType w:val="multilevel"/>
    <w:tmpl w:val="F8F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7E"/>
    <w:rsid w:val="002C0F7E"/>
    <w:rsid w:val="00325772"/>
    <w:rsid w:val="003F1B1A"/>
    <w:rsid w:val="005C3DC8"/>
    <w:rsid w:val="00E6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427B"/>
  <w15:chartTrackingRefBased/>
  <w15:docId w15:val="{B6358861-FDDA-4BBE-88FD-D21E81F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F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C0F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2C0F7E"/>
  </w:style>
  <w:style w:type="paragraph" w:styleId="ListParagraph">
    <w:name w:val="List Paragraph"/>
    <w:basedOn w:val="Normal"/>
    <w:uiPriority w:val="34"/>
    <w:qFormat/>
    <w:rsid w:val="003F1B1A"/>
    <w:pPr>
      <w:ind w:left="720"/>
      <w:contextualSpacing/>
    </w:pPr>
  </w:style>
  <w:style w:type="paragraph" w:styleId="NoSpacing">
    <w:name w:val="No Spacing"/>
    <w:uiPriority w:val="1"/>
    <w:qFormat/>
    <w:rsid w:val="003F1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852501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554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1271351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507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11778846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7753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637223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4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1917934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820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1303849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26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165437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070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D3D7D9"/>
            <w:right w:val="none" w:sz="0" w:space="0" w:color="auto"/>
          </w:divBdr>
          <w:divsChild>
            <w:div w:id="517355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facts.ca/node/82" TargetMode="External"/><Relationship Id="rId13" Type="http://schemas.openxmlformats.org/officeDocument/2006/relationships/hyperlink" Target="http://lawfacts.ca/glossary" TargetMode="External"/><Relationship Id="rId18" Type="http://schemas.openxmlformats.org/officeDocument/2006/relationships/hyperlink" Target="http://lawfacts.ca/glossary" TargetMode="External"/><Relationship Id="rId26" Type="http://schemas.openxmlformats.org/officeDocument/2006/relationships/hyperlink" Target="http://lawfacts.ca/gloss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facts.ca/node/185" TargetMode="External"/><Relationship Id="rId34" Type="http://schemas.openxmlformats.org/officeDocument/2006/relationships/hyperlink" Target="http://lawfacts.ca/glossary" TargetMode="External"/><Relationship Id="rId7" Type="http://schemas.openxmlformats.org/officeDocument/2006/relationships/hyperlink" Target="http://lawfacts.ca/glossary" TargetMode="External"/><Relationship Id="rId12" Type="http://schemas.openxmlformats.org/officeDocument/2006/relationships/hyperlink" Target="http://lawfacts.ca/node/34" TargetMode="External"/><Relationship Id="rId17" Type="http://schemas.openxmlformats.org/officeDocument/2006/relationships/hyperlink" Target="http://lawfacts.ca/glossary" TargetMode="External"/><Relationship Id="rId25" Type="http://schemas.openxmlformats.org/officeDocument/2006/relationships/hyperlink" Target="http://lawfacts.ca/node/66" TargetMode="External"/><Relationship Id="rId33" Type="http://schemas.openxmlformats.org/officeDocument/2006/relationships/hyperlink" Target="http://lawfacts.ca/gloss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facts.ca/glossary" TargetMode="External"/><Relationship Id="rId20" Type="http://schemas.openxmlformats.org/officeDocument/2006/relationships/hyperlink" Target="http://lawfacts.ca/glossary" TargetMode="External"/><Relationship Id="rId29" Type="http://schemas.openxmlformats.org/officeDocument/2006/relationships/hyperlink" Target="http://lawfacts.ca/gloss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wfacts.ca/glossary" TargetMode="External"/><Relationship Id="rId11" Type="http://schemas.openxmlformats.org/officeDocument/2006/relationships/hyperlink" Target="http://lawfacts.ca/glossary" TargetMode="External"/><Relationship Id="rId24" Type="http://schemas.openxmlformats.org/officeDocument/2006/relationships/hyperlink" Target="http://lawfacts.ca/glossary" TargetMode="External"/><Relationship Id="rId32" Type="http://schemas.openxmlformats.org/officeDocument/2006/relationships/hyperlink" Target="http://lawfacts.ca/glossar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awfacts.ca/node/60" TargetMode="External"/><Relationship Id="rId15" Type="http://schemas.openxmlformats.org/officeDocument/2006/relationships/hyperlink" Target="http://lawfacts.ca/node/80" TargetMode="External"/><Relationship Id="rId23" Type="http://schemas.openxmlformats.org/officeDocument/2006/relationships/hyperlink" Target="http://lawfacts.ca/glossary" TargetMode="External"/><Relationship Id="rId28" Type="http://schemas.openxmlformats.org/officeDocument/2006/relationships/hyperlink" Target="http://lawfacts.ca/glossar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wfacts.ca/glossary" TargetMode="External"/><Relationship Id="rId19" Type="http://schemas.openxmlformats.org/officeDocument/2006/relationships/hyperlink" Target="http://lawfacts.ca/node/78" TargetMode="External"/><Relationship Id="rId31" Type="http://schemas.openxmlformats.org/officeDocument/2006/relationships/hyperlink" Target="http://lawfacts.ca/gloss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facts.ca/glossary" TargetMode="External"/><Relationship Id="rId14" Type="http://schemas.openxmlformats.org/officeDocument/2006/relationships/hyperlink" Target="http://lawfacts.ca/glossary" TargetMode="External"/><Relationship Id="rId22" Type="http://schemas.openxmlformats.org/officeDocument/2006/relationships/hyperlink" Target="http://lawfacts.ca/glossary" TargetMode="External"/><Relationship Id="rId27" Type="http://schemas.openxmlformats.org/officeDocument/2006/relationships/hyperlink" Target="http://lawfacts.ca/glossary" TargetMode="External"/><Relationship Id="rId30" Type="http://schemas.openxmlformats.org/officeDocument/2006/relationships/hyperlink" Target="http://lawfacts.ca/node/68" TargetMode="External"/><Relationship Id="rId35" Type="http://schemas.openxmlformats.org/officeDocument/2006/relationships/hyperlink" Target="http://lawfacts.ca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2</cp:revision>
  <dcterms:created xsi:type="dcterms:W3CDTF">2020-12-16T20:25:00Z</dcterms:created>
  <dcterms:modified xsi:type="dcterms:W3CDTF">2020-12-16T20:39:00Z</dcterms:modified>
</cp:coreProperties>
</file>